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B79" w:rsidRDefault="0039099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 дәріс. Шығармашылық өнімінің экономикалық, саяси және әлеуметтік  механизмге трансформациялануы</w:t>
      </w:r>
      <w:r w:rsidRPr="004E466E">
        <w:rPr>
          <w:rFonts w:ascii="Times New Roman" w:hAnsi="Times New Roman" w:cs="Times New Roman"/>
          <w:lang w:val="kk-KZ"/>
        </w:rPr>
        <w:t>.</w:t>
      </w:r>
    </w:p>
    <w:p w:rsidR="000A3527" w:rsidRPr="000A3527" w:rsidRDefault="000A3527" w:rsidP="000A352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Шығармашылық өнімнің экономикалық, саяси және әлеуметтік қырлары. Шығармашылық өнімді әлеумет табиғатына бейімдеу әдістері. Баспасөз</w:t>
      </w:r>
      <w:r w:rsidRPr="000A3527">
        <w:rPr>
          <w:rFonts w:ascii="Times New Roman" w:hAnsi="Times New Roman" w:cs="Times New Roman"/>
          <w:sz w:val="24"/>
          <w:szCs w:val="24"/>
          <w:lang w:val="kk-KZ"/>
        </w:rPr>
        <w:t xml:space="preserve"> мәтіндерінің шығармашылық табиғаты мен рыноктық сипаты арасындағы байланыс пен қарама</w:t>
      </w:r>
      <w:r w:rsidRPr="000A3527">
        <w:rPr>
          <w:rFonts w:ascii="Times New Roman" w:hAnsi="Times New Roman" w:cs="Times New Roman"/>
          <w:sz w:val="24"/>
          <w:szCs w:val="24"/>
          <w:lang w:val="kk-KZ"/>
        </w:rPr>
        <w:softHyphen/>
        <w:t>-қайшылық нақты мысалдар арқылы тұжырымдалады.</w:t>
      </w:r>
    </w:p>
    <w:p w:rsidR="000A3527" w:rsidRPr="000A3527" w:rsidRDefault="000A3527">
      <w:pPr>
        <w:rPr>
          <w:lang w:val="kk-KZ"/>
        </w:rPr>
      </w:pPr>
    </w:p>
    <w:sectPr w:rsidR="000A3527" w:rsidRPr="000A3527" w:rsidSect="00697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0992"/>
    <w:rsid w:val="00087B79"/>
    <w:rsid w:val="000A3527"/>
    <w:rsid w:val="00390992"/>
    <w:rsid w:val="00697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2013-10-02T07:34:00Z</dcterms:created>
  <dcterms:modified xsi:type="dcterms:W3CDTF">2013-10-02T11:25:00Z</dcterms:modified>
</cp:coreProperties>
</file>